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numPr>
          <w:ilvl w:val="0"/>
          <w:numId w:val="3"/>
        </w:numPr>
        <w:spacing w:lineRule="auto" w:line="240"/>
        <w:jc w:val="center"/>
        <w:textAlignment w:val="baseline"/>
        <w:rPr/>
      </w:pPr>
      <w:r>
        <w:rPr>
          <w:rFonts w:cs="Times New Roman" w:ascii="Times New Roman" w:hAnsi="Times New Roman"/>
          <w:b/>
          <w:bCs/>
        </w:rPr>
        <w:t>ПЕРЕЧЕНЬ ИССЛЕДОВАНИЙ И ЗАКЛЮЧЕНИЙ НА ГОСПИТАЛИЗАЦИЮ (</w:t>
      </w:r>
      <w:r>
        <w:rPr>
          <w:rFonts w:cs="Times New Roman" w:ascii="Times New Roman" w:hAnsi="Times New Roman"/>
          <w:b/>
          <w:bCs/>
          <w:u w:val="single"/>
        </w:rPr>
        <w:t>ДЕТИ)</w:t>
      </w:r>
    </w:p>
    <w:tbl>
      <w:tblPr>
        <w:tblStyle w:val="af4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8"/>
        <w:gridCol w:w="5103"/>
        <w:gridCol w:w="1554"/>
      </w:tblGrid>
      <w:tr>
        <w:trPr/>
        <w:tc>
          <w:tcPr>
            <w:tcW w:w="9345" w:type="dxa"/>
            <w:gridSpan w:val="3"/>
            <w:tcBorders/>
          </w:tcPr>
          <w:tbl>
            <w:tblPr>
              <w:tblStyle w:val="af4"/>
              <w:tblW w:w="934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345"/>
            </w:tblGrid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eastAsia="Aptos" w:cs="Times New Roman" w:ascii="Times New Roman" w:hAnsi="Times New Roman"/>
                      <w:b/>
                      <w:bCs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Документы для госпитализации (оригиналы)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На руках перед госпитализацией необходимо иметь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u w:val="single"/>
                      <w:lang w:val="ru-RU" w:eastAsia="en-US" w:bidi="ar-SA"/>
                    </w:rPr>
                    <w:t>ОРИГИНАЛЫ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 и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u w:val="single"/>
                      <w:lang w:val="ru-RU" w:eastAsia="en-US" w:bidi="ar-SA"/>
                    </w:rPr>
                    <w:t xml:space="preserve">КОПИИ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всех документов </w:t>
                  </w:r>
                  <w:r>
                    <w:rPr>
                      <w:rFonts w:eastAsia="Aptos" w:cs="Times New Roman" w:ascii="Times New Roman" w:hAnsi="Times New Roman"/>
                      <w:b/>
                      <w:bCs/>
                      <w:kern w:val="2"/>
                      <w:sz w:val="24"/>
                      <w:szCs w:val="24"/>
                      <w:lang w:val="ru-RU" w:eastAsia="en-US" w:bidi="ar-SA"/>
                    </w:rPr>
                    <w:t>в распечатанном виде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1.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u w:val="single"/>
                      <w:lang w:val="ru-RU" w:eastAsia="en-US" w:bidi="ar-SA"/>
                    </w:rPr>
                    <w:t>Направление 057 у на госпитализацию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 (выдается в поликлинике </w:t>
                  </w:r>
                  <w:r>
                    <w:rPr>
                      <w:rFonts w:eastAsia="Aptos" w:cs="Times New Roman" w:ascii="Times New Roman" w:hAnsi="Times New Roman"/>
                      <w:b/>
                      <w:bCs/>
                      <w:kern w:val="2"/>
                      <w:sz w:val="24"/>
                      <w:szCs w:val="24"/>
                      <w:lang w:val="ru-RU" w:eastAsia="en-US" w:bidi="ar-SA"/>
                    </w:rPr>
                    <w:t>по месту прикрепления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)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2. Свидетельство о рождении ребенка (при наличии — паспорт)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3. Свидетельство о регистрации ребенка по месту жительства (форма 8)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4. СНИЛС ребенка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5. Полис ОМС ребенка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6. Паспорт родителя, который сопровождает ребенка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7. При сопровождении ребенка иными лицами — </w:t>
                  </w:r>
                  <w:r>
                    <w:rPr>
                      <w:rFonts w:eastAsia="Times New Roman" w:cs="Times New Roman" w:ascii="Times New Roman" w:hAnsi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ru-RU" w:eastAsia="en-US" w:bidi="ar-SA"/>
                    </w:rPr>
                    <w:t>нотариально заверенная доверенность</w:t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Название исследования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Описание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Срок действия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1. Общий (клинический) анализ крови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развернутый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3.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Биохимический анализ крови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общий белок, глюкоза, билирубин прямой и непрямой, АЛТ, АСТ, мочевина, креатинин, щелочная фосфатаза, креатинин, мочевина, С-реактивный белок.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 сахарном диабете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 xml:space="preserve"> –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гликированный гемоглобин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 месяц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4.</w:t>
            </w:r>
            <w:r>
              <w:rPr>
                <w:rFonts w:cs="Times New Roman" w:ascii="Times New Roman" w:hAnsi="Times New Roman"/>
                <w:b/>
                <w:bCs/>
                <w:kern w:val="2"/>
                <w:sz w:val="24"/>
                <w:szCs w:val="24"/>
                <w:lang w:val="ru-RU"/>
              </w:rPr>
              <w:t xml:space="preserve"> ВИЧ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03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антитела и антиген ВИЧ ½.</w:t>
            </w:r>
            <w:r>
              <w:rPr>
                <w:rFonts w:cs="Times New Roman" w:ascii="Times New Roman" w:hAnsi="Times New Roman"/>
                <w:color w:val="000000"/>
                <w:kern w:val="2"/>
                <w:sz w:val="24"/>
                <w:szCs w:val="24"/>
                <w:lang w:val="ru-RU"/>
              </w:rPr>
              <w:t xml:space="preserve"> К</w:t>
            </w: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онсультация и заключение врача инфекциониста при положительном результате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5.Гепатит В</w:t>
            </w:r>
          </w:p>
        </w:tc>
        <w:tc>
          <w:tcPr>
            <w:tcW w:w="5103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2"/>
                <w:sz w:val="24"/>
                <w:szCs w:val="24"/>
                <w:lang w:val="ru-RU"/>
              </w:rPr>
              <w:t>HBsAg, поверхностный антиген.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>К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онсультация и заключение врача инфекциониста при положительном результате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6.</w:t>
            </w:r>
            <w:r>
              <w:rPr>
                <w:rFonts w:cs="Times New Roman" w:ascii="Times New Roman" w:hAnsi="Times New Roman"/>
                <w:b/>
                <w:bCs/>
                <w:kern w:val="2"/>
                <w:sz w:val="24"/>
                <w:szCs w:val="24"/>
                <w:lang w:val="ru-RU"/>
              </w:rPr>
              <w:t xml:space="preserve"> Гепатит С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03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суммарные антитела Anti-HCV.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Консультация и заключение врача инфекциониста при положительном результате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7.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Сифилис</w:t>
            </w:r>
          </w:p>
        </w:tc>
        <w:tc>
          <w:tcPr>
            <w:tcW w:w="5103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суммарные антитела к бледной трепонеме.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Консультация и заключение врача кожвендиспансера при положительном результате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8.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Группа крови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и резус-фактор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бессрочно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9. Анализ мочи общий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10. Анализ кала на яйца гельминтов (глистов)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11. Соскоб на энтеробиоз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12. Бактериологическое исследование кала на патогенную кишечную группу (сальмонелла, шигелла)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>Для детей до 2 лет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  <w:t>14 дней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13. Лента ЭКГ с расшифровкой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 наличии изменений консультация детского кардиолога обязательна!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>
          <w:trHeight w:val="330" w:hRule="atLeast"/>
        </w:trPr>
        <w:tc>
          <w:tcPr>
            <w:tcW w:w="268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14. Заключение по обследованию органов дыхания</w:t>
            </w:r>
          </w:p>
        </w:tc>
        <w:tc>
          <w:tcPr>
            <w:tcW w:w="5103" w:type="dxa"/>
            <w:tcBorders/>
          </w:tcPr>
          <w:p>
            <w:pPr>
              <w:pStyle w:val="Standard"/>
              <w:widowControl/>
              <w:suppressAutoHyphens w:val="true"/>
              <w:spacing w:before="0" w:after="16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u w:val="single"/>
                <w:lang w:val="ru-RU"/>
              </w:rPr>
              <w:t>от 1 года до 14 лет</w:t>
            </w: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:  реакция Манту или Диаскин-тест</w:t>
            </w:r>
          </w:p>
        </w:tc>
        <w:tc>
          <w:tcPr>
            <w:tcW w:w="155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 месяцев</w:t>
            </w:r>
          </w:p>
        </w:tc>
      </w:tr>
      <w:tr>
        <w:trPr/>
        <w:tc>
          <w:tcPr>
            <w:tcW w:w="268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>от 15 до 18 лет: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 флюорография, или рентгенография, или КТ, или Диаскин-тест</w:t>
            </w:r>
          </w:p>
        </w:tc>
        <w:tc>
          <w:tcPr>
            <w:tcW w:w="155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62" w:hRule="atLeast"/>
        </w:trPr>
        <w:tc>
          <w:tcPr>
            <w:tcW w:w="268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Для детей, не вакцинированных против туберкулеза и не имеющих результатов пробы Манту или Диаскин-теста,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>консультация фтизиатра</w:t>
            </w:r>
          </w:p>
        </w:tc>
        <w:tc>
          <w:tcPr>
            <w:tcW w:w="155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62" w:hRule="atLeast"/>
        </w:trPr>
        <w:tc>
          <w:tcPr>
            <w:tcW w:w="268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15.Заключение педиатра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Выписка из истории развития ребенка ( форма 027/У), с наличием данных аллергологического анамнеза, о наличии хронических заболеваний, перенесенных инфекций, наличии противопоказаний к хирургическому лечению под наркозом, перенесенных операций</w:t>
            </w:r>
          </w:p>
        </w:tc>
        <w:tc>
          <w:tcPr>
            <w:tcW w:w="155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 месяц</w:t>
            </w:r>
          </w:p>
        </w:tc>
      </w:tr>
      <w:tr>
        <w:trPr>
          <w:trHeight w:val="62" w:hRule="atLeast"/>
        </w:trPr>
        <w:tc>
          <w:tcPr>
            <w:tcW w:w="268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 наличии хронических заболеваний — заключение профильного специалиста</w:t>
            </w:r>
          </w:p>
        </w:tc>
        <w:tc>
          <w:tcPr>
            <w:tcW w:w="155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62" w:hRule="atLeast"/>
        </w:trPr>
        <w:tc>
          <w:tcPr>
            <w:tcW w:w="268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 xml:space="preserve"> детей в возрасте до 6 месяцев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, выписка из родильного дома или перинатального центра</w:t>
            </w:r>
          </w:p>
        </w:tc>
        <w:tc>
          <w:tcPr>
            <w:tcW w:w="155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62" w:hRule="atLeast"/>
        </w:trPr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16. Карта профилактических прививок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 вакцинами по возрасту (ф-063у, 156-у-93), в том числе обязательное упоминание о вакцинации против кори, ветряной оспы, полиомиелита (дата последней вакцинации и названия вакцины против полиомиелита)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За 2 месяца до госпитализации профилакти-ческих прививок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u w:val="single"/>
                <w:lang w:val="ru-RU" w:eastAsia="en-US" w:bidi="ar-SA"/>
              </w:rPr>
              <w:t>живыми вакцинами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 не проводить!!!</w:t>
            </w:r>
          </w:p>
        </w:tc>
      </w:tr>
      <w:tr>
        <w:trPr>
          <w:trHeight w:val="62" w:hRule="atLeast"/>
        </w:trPr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17. Справка об отсутствии контактов с инфекционными больными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Сведения о контактах с инфекционными больными в течение 21 дня до госпитализации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дня</w:t>
            </w:r>
          </w:p>
        </w:tc>
      </w:tr>
      <w:tr>
        <w:trPr/>
        <w:tc>
          <w:tcPr>
            <w:tcW w:w="93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Для сопровождающий лиц по уходу за детьми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 в случае совместной госпитализации (независимо от возраста ребенка)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1.Заключение по обследованию органов дыхания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флюорография, или рентгенография, или КТ органов грудной клетки с описанием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 месяцев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2"/>
                <w:sz w:val="24"/>
                <w:szCs w:val="24"/>
                <w:lang w:val="ru-RU"/>
              </w:rPr>
              <w:t>2. ВИЧ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03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антитела и антиген ВИЧ 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 положительном результате</w:t>
            </w:r>
            <w:r>
              <w:rPr>
                <w:rFonts w:eastAsia="Aptos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заключение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>врача инфекциониста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3.Гепатит В</w:t>
            </w:r>
          </w:p>
        </w:tc>
        <w:tc>
          <w:tcPr>
            <w:tcW w:w="5103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cs="Times New Roman" w:ascii="Times New Roman" w:hAnsi="Times New Roman"/>
                <w:color w:val="000000"/>
                <w:kern w:val="2"/>
                <w:sz w:val="24"/>
                <w:szCs w:val="24"/>
                <w:u w:val="single"/>
                <w:lang w:val="ru-RU"/>
              </w:rPr>
              <w:t>HBsAg, поверхностный антиген.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 положительном результате</w:t>
            </w:r>
            <w:r>
              <w:rPr>
                <w:rFonts w:eastAsia="Aptos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заключение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>врача инфекциониста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2"/>
                <w:sz w:val="24"/>
                <w:szCs w:val="24"/>
                <w:lang w:val="ru-RU"/>
              </w:rPr>
              <w:t>4. Гепатит С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03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u w:val="single"/>
                <w:lang w:val="ru-RU"/>
              </w:rPr>
              <w:t>суммарные антитела Anti-HCV.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При положительном результате заключение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>врача инфекциониста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5.Сифилис</w:t>
            </w:r>
          </w:p>
        </w:tc>
        <w:tc>
          <w:tcPr>
            <w:tcW w:w="5103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u w:val="single"/>
                <w:lang w:val="ru-RU"/>
              </w:rPr>
              <w:t>суммарные антитела к бледной трепонеме.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При положительном результате заключение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>врача кожвендиспа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нсера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6.Бактериологическое исследование кала на патогенную кишечную группу (сальмонелла, шигелла)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>Для сопровождающих детей до 2 лет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ru-RU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ru-RU" w:eastAsia="en-US" w:bidi="ar-SA"/>
              </w:rPr>
              <w:t>14 дней</w:t>
            </w:r>
          </w:p>
        </w:tc>
      </w:tr>
      <w:tr>
        <w:trPr/>
        <w:tc>
          <w:tcPr>
            <w:tcW w:w="2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7.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Корь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Для сопровождающих в возрасте до 35 лет сведения о наличии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прививок против кори; при отсутствии - </w:t>
            </w:r>
            <w:r>
              <w:rPr>
                <w:rStyle w:val="Strong"/>
                <w:rFonts w:eastAsia="Aptos" w:cs="Times New Roman" w:ascii="Times New Roman" w:hAnsi="Times New Roman"/>
                <w:b w:val="false"/>
                <w:color w:val="000000"/>
                <w:kern w:val="2"/>
                <w:sz w:val="24"/>
                <w:szCs w:val="24"/>
                <w:lang w:val="ru-RU" w:eastAsia="en-US" w:bidi="ar-SA"/>
              </w:rPr>
              <w:t>анализ крови на специфические антитела класса IgG к вирусу кори</w:t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 месяцев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numPr>
          <w:ilvl w:val="0"/>
          <w:numId w:val="0"/>
        </w:numPr>
        <w:suppressAutoHyphens w:val="false"/>
        <w:spacing w:lineRule="atLeast" w:line="216" w:before="200" w:after="0"/>
        <w:outlineLvl w:val="3"/>
        <w:rPr>
          <w:rFonts w:eastAsia="Times New Roman" w:cs="Times New Roman"/>
          <w:b/>
          <w:bCs/>
          <w:kern w:val="0"/>
        </w:rPr>
      </w:pPr>
      <w:r>
        <w:rPr>
          <w:rFonts w:eastAsia="Times New Roman" w:cs="Times New Roman"/>
          <w:b/>
          <w:bCs/>
          <w:kern w:val="0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2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21139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1139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1139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1139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1139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1139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1139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1139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1139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21139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21139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21139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11397"/>
    <w:rPr>
      <w:i/>
      <w:iCs/>
      <w:color w:themeColor="accent1" w:themeShade="bf" w:val="0F476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21139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11397"/>
    <w:rPr>
      <w:b/>
      <w:bCs/>
      <w:smallCaps/>
      <w:color w:themeColor="accent1" w:themeShade="bf" w:val="0F4761"/>
      <w:spacing w:val="5"/>
    </w:rPr>
  </w:style>
  <w:style w:type="character" w:styleId="Strong">
    <w:name w:val="Strong"/>
    <w:qFormat/>
    <w:rPr>
      <w:b/>
      <w:bCs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link w:val="Style5"/>
    <w:uiPriority w:val="10"/>
    <w:qFormat/>
    <w:rsid w:val="0021139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Normal"/>
    <w:next w:val="Normal"/>
    <w:link w:val="Style6"/>
    <w:uiPriority w:val="11"/>
    <w:qFormat/>
    <w:rsid w:val="0021139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21139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qFormat/>
    <w:rsid w:val="0021139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211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Standard" w:customStyle="1">
    <w:name w:val="Standard"/>
    <w:qFormat/>
    <w:rsid w:val="00211397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ru-RU"/>
      <w14:ligatures w14:val="none"/>
    </w:rPr>
  </w:style>
  <w:style w:type="paragraph" w:styleId="Style1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1" w:customStyle="1">
    <w:name w:val="Заголовок таблицы"/>
    <w:basedOn w:val="Style10"/>
    <w:qFormat/>
    <w:pPr>
      <w:jc w:val="center"/>
    </w:pPr>
    <w:rPr>
      <w:b/>
      <w:bCs/>
    </w:rPr>
  </w:style>
  <w:style w:type="numbering" w:styleId="Style12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2113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LibreOffice/24.2.5.2$Windows_X86_64 LibreOffice_project/bffef4ea93e59bebbeaf7f431bb02b1a39ee8a59</Application>
  <AppVersion>15.0000</AppVersion>
  <Pages>6</Pages>
  <Words>539</Words>
  <Characters>3491</Characters>
  <CharactersWithSpaces>3941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2026-10-04T16:55:00Z</dcterms:created>
  <dc:creator>Владимир</dc:creator>
  <dc:description/>
  <dc:language>ru-RU</dc:language>
  <cp:lastModifiedBy>Владимир</cp:lastModifiedBy>
  <dcterms:modified xsi:type="dcterms:W3CDTF">2026-10-04T17:43:00Z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